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5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o szkolnictwie wyższym i nauce (Dz. U. z 2018 r. poz. 742 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>z późn. zm.). W przypadku braku osiągnięć należy wpisać „nie dotyczy”.</w:t>
      </w:r>
    </w:p>
    <w:p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 pkt. II.9</w:t>
      </w:r>
    </w:p>
    <w:p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punktacji Impact Factor (w dziedzinach i dyscyplinach, w których parametr ten jest powszechnie używany jako wskaźnik naukometryczny)</w:t>
      </w:r>
    </w:p>
    <w:p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cytowań publikacji wnioskodawcy, z oddzielnym uwzględnieniem autocytowań</w:t>
      </w:r>
    </w:p>
    <w:p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punktów MNiSW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 dyscypliny naukowej.</w:t>
      </w:r>
    </w:p>
    <w:p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Wykaz osiągnięć dydaktycznych wpływających na rozwój dydaktyczny szkoły wyższej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 xml:space="preserve">Wykaz osiągnięć w kształceniu doktorantów 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>
        <w:rPr>
          <w:rFonts w:asciiTheme="minorHAnsi" w:hAnsiTheme="minorHAnsi" w:cstheme="minorHAnsi"/>
          <w:sz w:val="24"/>
          <w:szCs w:val="24"/>
        </w:rPr>
        <w:t>mających znaczenie w dydaktyce szkoły wyższej w zakresie kierunku, na którym kandydat będzie prowadził zajęcia</w:t>
      </w:r>
    </w:p>
    <w:p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E791-C9E6-4AED-AC0B-517467C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2024-10-14T12:37:00Z</dcterms:created>
  <dcterms:modified xsi:type="dcterms:W3CDTF">2024-10-14T12:37:00Z</dcterms:modified>
</cp:coreProperties>
</file>